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9F1BF" w14:textId="77777777" w:rsidR="00257BCA" w:rsidRDefault="00257BCA" w:rsidP="00257BC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center"/>
        <w:rPr>
          <w:rFonts w:ascii="Georgia" w:eastAsia="ヒラギノ角ゴ Pro W3" w:hAnsi="Georgia"/>
          <w:b/>
          <w:bCs/>
          <w:i/>
          <w:iCs/>
          <w:color w:val="385623" w:themeColor="accent6" w:themeShade="80"/>
          <w:kern w:val="0"/>
          <w:sz w:val="36"/>
          <w:szCs w:val="36"/>
          <w:lang w:eastAsia="it-IT"/>
          <w14:ligatures w14:val="none"/>
        </w:rPr>
      </w:pPr>
    </w:p>
    <w:p w14:paraId="7DDF60E3" w14:textId="1A255852" w:rsidR="00DD271A" w:rsidRPr="00CA1730" w:rsidRDefault="00257BCA" w:rsidP="00257BC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center"/>
        <w:rPr>
          <w:rFonts w:ascii="Georgia" w:eastAsia="ヒラギノ角ゴ Pro W3" w:hAnsi="Georgia"/>
          <w:b/>
          <w:bCs/>
          <w:i/>
          <w:iCs/>
          <w:color w:val="385623" w:themeColor="accent6" w:themeShade="80"/>
          <w:kern w:val="0"/>
          <w:sz w:val="36"/>
          <w:szCs w:val="36"/>
          <w:lang w:eastAsia="it-IT"/>
          <w14:ligatures w14:val="none"/>
        </w:rPr>
      </w:pPr>
      <w:r>
        <w:rPr>
          <w:noProof/>
        </w:rPr>
        <w:drawing>
          <wp:inline distT="0" distB="0" distL="0" distR="0" wp14:anchorId="1434900A" wp14:editId="22E11A10">
            <wp:extent cx="6905570" cy="1367514"/>
            <wp:effectExtent l="0" t="0" r="0" b="4445"/>
            <wp:docPr id="17077222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39033" cy="1374141"/>
                    </a:xfrm>
                    <a:prstGeom prst="rect">
                      <a:avLst/>
                    </a:prstGeom>
                    <a:noFill/>
                    <a:ln>
                      <a:noFill/>
                    </a:ln>
                  </pic:spPr>
                </pic:pic>
              </a:graphicData>
            </a:graphic>
          </wp:inline>
        </w:drawing>
      </w:r>
    </w:p>
    <w:p w14:paraId="0302B6A4" w14:textId="77777777" w:rsidR="00257BCA" w:rsidRDefault="00257BC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b/>
          <w:bCs/>
          <w:i/>
          <w:color w:val="C00000"/>
          <w:sz w:val="36"/>
          <w:szCs w:val="36"/>
        </w:rPr>
      </w:pPr>
    </w:p>
    <w:p w14:paraId="7D94E543" w14:textId="1036024B" w:rsidR="00DD271A" w:rsidRPr="00416CF6"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color w:val="auto"/>
          <w:sz w:val="30"/>
          <w:szCs w:val="30"/>
        </w:rPr>
      </w:pPr>
      <w:r>
        <w:rPr>
          <w:rFonts w:ascii="Georgia" w:hAnsi="Georgia"/>
          <w:b/>
          <w:bCs/>
          <w:i/>
          <w:color w:val="C00000"/>
          <w:sz w:val="36"/>
          <w:szCs w:val="36"/>
        </w:rPr>
        <w:t>1</w:t>
      </w:r>
      <w:r w:rsidRPr="00416CF6">
        <w:rPr>
          <w:rFonts w:ascii="Georgia" w:hAnsi="Georgia"/>
          <w:b/>
          <w:bCs/>
          <w:i/>
          <w:color w:val="C00000"/>
          <w:sz w:val="36"/>
          <w:szCs w:val="36"/>
        </w:rPr>
        <w:t xml:space="preserve">. </w:t>
      </w:r>
      <w:r w:rsidRPr="00416CF6">
        <w:rPr>
          <w:rFonts w:ascii="Georgia" w:hAnsi="Georgia"/>
          <w:b/>
          <w:bCs/>
          <w:i/>
          <w:color w:val="1F3864" w:themeColor="accent1" w:themeShade="80"/>
          <w:sz w:val="30"/>
          <w:szCs w:val="30"/>
        </w:rPr>
        <w:t>Prediche di Bernardino Ochino da Siena. Nouellamente ristampate &amp; con grande diligentia riuedute &amp; corrette. Con la sua tauola nel fine.</w:t>
      </w:r>
      <w:r w:rsidRPr="00416CF6">
        <w:rPr>
          <w:rFonts w:ascii="Georgia" w:hAnsi="Georgia"/>
          <w:i/>
          <w:color w:val="1F3864" w:themeColor="accent1" w:themeShade="80"/>
          <w:sz w:val="30"/>
          <w:szCs w:val="30"/>
        </w:rPr>
        <w:t xml:space="preserve"> </w:t>
      </w:r>
      <w:r w:rsidRPr="00416CF6">
        <w:rPr>
          <w:rFonts w:ascii="Georgia" w:hAnsi="Georgia"/>
          <w:i/>
          <w:color w:val="auto"/>
          <w:sz w:val="30"/>
          <w:szCs w:val="30"/>
        </w:rPr>
        <w:t xml:space="preserve">– </w:t>
      </w:r>
      <w:r w:rsidRPr="00416CF6">
        <w:rPr>
          <w:rFonts w:ascii="Georgia" w:hAnsi="Georgia"/>
          <w:iCs/>
          <w:color w:val="auto"/>
          <w:sz w:val="30"/>
          <w:szCs w:val="30"/>
        </w:rPr>
        <w:t>[</w:t>
      </w:r>
      <w:r w:rsidRPr="00416CF6">
        <w:rPr>
          <w:rFonts w:ascii="Georgia" w:hAnsi="Georgia"/>
          <w:color w:val="auto"/>
          <w:sz w:val="30"/>
          <w:szCs w:val="30"/>
        </w:rPr>
        <w:t>Basilea : Michael Isingrinius e Pietro Perna</w:t>
      </w:r>
      <w:r>
        <w:rPr>
          <w:rFonts w:ascii="Georgia" w:hAnsi="Georgia"/>
          <w:color w:val="auto"/>
          <w:sz w:val="30"/>
          <w:szCs w:val="30"/>
        </w:rPr>
        <w:t>, 1549?</w:t>
      </w:r>
      <w:r w:rsidRPr="00416CF6">
        <w:rPr>
          <w:rFonts w:ascii="Georgia" w:hAnsi="Georgia"/>
          <w:color w:val="auto"/>
          <w:sz w:val="30"/>
          <w:szCs w:val="30"/>
        </w:rPr>
        <w:t xml:space="preserve">]. </w:t>
      </w:r>
    </w:p>
    <w:p w14:paraId="542C44D5" w14:textId="77777777" w:rsidR="00DD271A"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b/>
          <w:bCs/>
          <w:i/>
          <w:color w:val="C00000"/>
          <w:sz w:val="36"/>
          <w:szCs w:val="36"/>
        </w:rPr>
      </w:pPr>
      <w:r w:rsidRPr="000663EE">
        <w:rPr>
          <w:rFonts w:ascii="Georgia" w:hAnsi="Georgia"/>
          <w:b/>
          <w:bCs/>
          <w:color w:val="C00000"/>
          <w:sz w:val="30"/>
          <w:szCs w:val="30"/>
        </w:rPr>
        <w:t xml:space="preserve">Sulla risguardia anteriore cartoncino a stampa di biblioteca straniera sbiadito dal tempo, probabilmente </w:t>
      </w:r>
      <w:r>
        <w:rPr>
          <w:rFonts w:ascii="Georgia" w:hAnsi="Georgia"/>
          <w:b/>
          <w:bCs/>
          <w:color w:val="C00000"/>
          <w:sz w:val="30"/>
          <w:szCs w:val="30"/>
        </w:rPr>
        <w:t>“</w:t>
      </w:r>
      <w:r w:rsidRPr="000663EE">
        <w:rPr>
          <w:rFonts w:ascii="Georgia" w:hAnsi="Georgia"/>
          <w:b/>
          <w:bCs/>
          <w:color w:val="C00000"/>
          <w:sz w:val="30"/>
          <w:szCs w:val="30"/>
        </w:rPr>
        <w:t>Richmond College Library, Lycett Room</w:t>
      </w:r>
      <w:r>
        <w:rPr>
          <w:rFonts w:ascii="Georgia" w:hAnsi="Georgia"/>
          <w:b/>
          <w:bCs/>
          <w:color w:val="C00000"/>
          <w:sz w:val="30"/>
          <w:szCs w:val="30"/>
        </w:rPr>
        <w:t>”</w:t>
      </w:r>
      <w:r w:rsidRPr="000663EE">
        <w:rPr>
          <w:rFonts w:ascii="Georgia" w:hAnsi="Georgia"/>
          <w:b/>
          <w:bCs/>
          <w:color w:val="C00000"/>
          <w:sz w:val="30"/>
          <w:szCs w:val="30"/>
        </w:rPr>
        <w:t>.</w:t>
      </w:r>
      <w:r>
        <w:rPr>
          <w:rFonts w:ascii="Georgia" w:hAnsi="Georgia"/>
          <w:b/>
          <w:bCs/>
          <w:color w:val="C00000"/>
          <w:sz w:val="30"/>
          <w:szCs w:val="30"/>
        </w:rPr>
        <w:t xml:space="preserve"> Sul primo foglio di guardia indicazione manoscritta di precedente possessore, “Charles Cook”, e nota manoscritta in inglese sul contenuto del libro datata 1836?</w:t>
      </w:r>
    </w:p>
    <w:p w14:paraId="41598535" w14:textId="77777777" w:rsidR="00DD271A"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color w:val="auto"/>
          <w:sz w:val="30"/>
          <w:szCs w:val="30"/>
        </w:rPr>
      </w:pPr>
    </w:p>
    <w:p w14:paraId="22581653" w14:textId="77777777" w:rsidR="00DD271A" w:rsidRPr="00A74F07"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sz w:val="30"/>
          <w:szCs w:val="30"/>
        </w:rPr>
      </w:pPr>
      <w:r>
        <w:rPr>
          <w:rFonts w:ascii="Georgia" w:hAnsi="Georgia"/>
          <w:b/>
          <w:bCs/>
          <w:i/>
          <w:color w:val="C00000"/>
          <w:sz w:val="36"/>
          <w:szCs w:val="36"/>
        </w:rPr>
        <w:t>2</w:t>
      </w:r>
      <w:r w:rsidRPr="00042A6E">
        <w:rPr>
          <w:rFonts w:ascii="Georgia" w:hAnsi="Georgia"/>
          <w:b/>
          <w:bCs/>
          <w:i/>
          <w:color w:val="C00000"/>
          <w:sz w:val="36"/>
          <w:szCs w:val="36"/>
        </w:rPr>
        <w:t>.</w:t>
      </w:r>
      <w:r>
        <w:rPr>
          <w:rFonts w:ascii="Georgia" w:hAnsi="Georgia"/>
          <w:b/>
          <w:bCs/>
          <w:i/>
          <w:color w:val="C00000"/>
          <w:sz w:val="36"/>
          <w:szCs w:val="36"/>
        </w:rPr>
        <w:t xml:space="preserve"> </w:t>
      </w:r>
      <w:r w:rsidRPr="00A840D4">
        <w:rPr>
          <w:rFonts w:ascii="Georgia" w:hAnsi="Georgia"/>
          <w:b/>
          <w:bCs/>
          <w:i/>
          <w:color w:val="1F3864" w:themeColor="accent1" w:themeShade="80"/>
          <w:sz w:val="30"/>
          <w:szCs w:val="30"/>
        </w:rPr>
        <w:t xml:space="preserve">Laurentii Vallae Elegantiarum Latinae linguae libri sex. Eiusdem de reciprocatione sui, &amp; suus, libellus. Ad veterum denuo codicum fidem ab Ioanne Raenerio emendata omnia. - </w:t>
      </w:r>
      <w:r w:rsidRPr="00A840D4">
        <w:rPr>
          <w:rFonts w:ascii="Georgia" w:hAnsi="Georgia"/>
          <w:b/>
          <w:bCs/>
          <w:color w:val="1F3864" w:themeColor="accent1" w:themeShade="80"/>
          <w:sz w:val="30"/>
          <w:szCs w:val="30"/>
        </w:rPr>
        <w:t>Lugduni : apud Antonium Gryphium, 1566.</w:t>
      </w:r>
      <w:r w:rsidRPr="008A7EB6">
        <w:rPr>
          <w:rFonts w:ascii="Georgia" w:hAnsi="Georgia"/>
          <w:color w:val="auto"/>
          <w:sz w:val="30"/>
          <w:szCs w:val="30"/>
        </w:rPr>
        <w:t xml:space="preserve"> </w:t>
      </w:r>
      <w:r>
        <w:rPr>
          <w:rFonts w:ascii="Georgia" w:hAnsi="Georgia"/>
          <w:color w:val="auto"/>
          <w:sz w:val="30"/>
          <w:szCs w:val="30"/>
        </w:rPr>
        <w:t xml:space="preserve">- </w:t>
      </w:r>
      <w:r w:rsidRPr="00A74F07">
        <w:rPr>
          <w:rFonts w:ascii="Georgia" w:hAnsi="Georgia"/>
          <w:color w:val="auto"/>
          <w:sz w:val="30"/>
          <w:szCs w:val="30"/>
        </w:rPr>
        <w:t>Marca tipografica sul frontespizio</w:t>
      </w:r>
      <w:r>
        <w:rPr>
          <w:rFonts w:ascii="Georgia" w:hAnsi="Georgia"/>
          <w:color w:val="auto"/>
          <w:sz w:val="30"/>
          <w:szCs w:val="30"/>
        </w:rPr>
        <w:t>.</w:t>
      </w:r>
    </w:p>
    <w:p w14:paraId="285D405A" w14:textId="77777777" w:rsidR="00DD271A"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b/>
          <w:bCs/>
          <w:i/>
          <w:color w:val="C00000"/>
          <w:sz w:val="36"/>
          <w:szCs w:val="36"/>
        </w:rPr>
      </w:pPr>
      <w:r w:rsidRPr="005D1683">
        <w:rPr>
          <w:rFonts w:ascii="Georgia" w:hAnsi="Georgia"/>
          <w:color w:val="auto"/>
          <w:sz w:val="30"/>
          <w:szCs w:val="30"/>
        </w:rPr>
        <w:t>Legatura in pergamena molle coeva con unghie</w:t>
      </w:r>
      <w:r w:rsidRPr="00A74F07">
        <w:rPr>
          <w:rFonts w:ascii="Georgia" w:hAnsi="Georgia"/>
          <w:color w:val="auto"/>
          <w:sz w:val="30"/>
          <w:szCs w:val="30"/>
        </w:rPr>
        <w:t xml:space="preserve">; tracce di bindelle; autore, titolo e fregio </w:t>
      </w:r>
      <w:r>
        <w:rPr>
          <w:rFonts w:ascii="Georgia" w:hAnsi="Georgia"/>
          <w:color w:val="auto"/>
          <w:sz w:val="30"/>
          <w:szCs w:val="30"/>
        </w:rPr>
        <w:t>manoscritti</w:t>
      </w:r>
      <w:r w:rsidRPr="00A74F07">
        <w:rPr>
          <w:rFonts w:ascii="Georgia" w:hAnsi="Georgia"/>
          <w:color w:val="auto"/>
          <w:sz w:val="30"/>
          <w:szCs w:val="30"/>
        </w:rPr>
        <w:t xml:space="preserve"> sul dorso (sec XVI). Al recto del secondo foglio di guardia </w:t>
      </w:r>
      <w:r w:rsidRPr="005D1683">
        <w:rPr>
          <w:rFonts w:ascii="Georgia" w:hAnsi="Georgia"/>
          <w:b/>
          <w:bCs/>
          <w:color w:val="C00000"/>
          <w:sz w:val="30"/>
          <w:szCs w:val="30"/>
        </w:rPr>
        <w:t>note di possesso manoscritte: “ex libris Philippi Vinarij”, “ex libris Nicolai de Angelis”. Sul frontespizio ripetuta la prima nota di possesso con data 1672. Nel verso dell’ultimo foglio di guardia nota manoscritta “O pagato carlini 8”.</w:t>
      </w:r>
    </w:p>
    <w:p w14:paraId="1C7A7A24" w14:textId="77777777" w:rsidR="00DD271A"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b/>
          <w:bCs/>
          <w:i/>
          <w:color w:val="C00000"/>
          <w:sz w:val="36"/>
          <w:szCs w:val="36"/>
        </w:rPr>
      </w:pPr>
    </w:p>
    <w:p w14:paraId="21AC6875" w14:textId="77777777" w:rsidR="00DD271A"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b/>
          <w:bCs/>
          <w:i/>
          <w:color w:val="C00000"/>
          <w:sz w:val="36"/>
          <w:szCs w:val="36"/>
        </w:rPr>
      </w:pPr>
    </w:p>
    <w:p w14:paraId="6E301EE0" w14:textId="77777777" w:rsidR="00DD271A" w:rsidRPr="00C3289F"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color w:val="auto"/>
          <w:sz w:val="30"/>
          <w:szCs w:val="30"/>
        </w:rPr>
      </w:pPr>
      <w:r>
        <w:rPr>
          <w:rFonts w:ascii="Georgia" w:hAnsi="Georgia"/>
          <w:b/>
          <w:bCs/>
          <w:i/>
          <w:color w:val="C00000"/>
          <w:sz w:val="36"/>
          <w:szCs w:val="36"/>
        </w:rPr>
        <w:t>3</w:t>
      </w:r>
      <w:r w:rsidRPr="00C3289F">
        <w:rPr>
          <w:rFonts w:ascii="Georgia" w:hAnsi="Georgia"/>
          <w:b/>
          <w:bCs/>
          <w:i/>
          <w:color w:val="C00000"/>
          <w:sz w:val="36"/>
          <w:szCs w:val="36"/>
        </w:rPr>
        <w:t xml:space="preserve">. </w:t>
      </w:r>
      <w:r w:rsidRPr="00C3289F">
        <w:rPr>
          <w:rFonts w:ascii="Georgia" w:hAnsi="Georgia"/>
          <w:b/>
          <w:bCs/>
          <w:i/>
          <w:color w:val="1F3864" w:themeColor="accent1" w:themeShade="80"/>
          <w:sz w:val="30"/>
          <w:szCs w:val="30"/>
        </w:rPr>
        <w:t xml:space="preserve">Sanctæ Inquisitionis hispanicæ artes aliquot detectæ, ac palam traductæ. Exempla aliquot, praeterea quæ suo quæque loco in ipso opere sparsa sunt, seorsum reposita, in quibus easdem inquisitorias artes veluti in tabulis quibusdam in ipso porrò exercitio intueri licet. Addidimus appendicis ... Reginaldo Gonsalvio Montano authore ... </w:t>
      </w:r>
      <w:r w:rsidRPr="00C3289F">
        <w:rPr>
          <w:rFonts w:ascii="Georgia" w:hAnsi="Georgia"/>
          <w:i/>
          <w:color w:val="auto"/>
          <w:sz w:val="30"/>
          <w:szCs w:val="30"/>
        </w:rPr>
        <w:t xml:space="preserve">- </w:t>
      </w:r>
      <w:r w:rsidRPr="00C3289F">
        <w:rPr>
          <w:rFonts w:ascii="Georgia" w:hAnsi="Georgia"/>
          <w:color w:val="auto"/>
          <w:sz w:val="30"/>
          <w:szCs w:val="30"/>
        </w:rPr>
        <w:t xml:space="preserve">Heidelbergæ, 1567 (Heidelbergæ : </w:t>
      </w:r>
    </w:p>
    <w:p w14:paraId="471D776D" w14:textId="4377BDD9" w:rsidR="00DD271A" w:rsidRPr="00C3289F"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Collegamentoipertestuale"/>
          <w:highlight w:val="yellow"/>
        </w:rPr>
      </w:pPr>
      <w:r w:rsidRPr="00C3289F">
        <w:rPr>
          <w:rFonts w:ascii="Georgia" w:hAnsi="Georgia"/>
          <w:b/>
          <w:bCs/>
          <w:color w:val="C00000"/>
          <w:sz w:val="30"/>
          <w:szCs w:val="30"/>
        </w:rPr>
        <w:t>Nota autografa di B</w:t>
      </w:r>
      <w:r>
        <w:rPr>
          <w:rFonts w:ascii="Georgia" w:hAnsi="Georgia"/>
          <w:b/>
          <w:bCs/>
          <w:color w:val="C00000"/>
          <w:sz w:val="30"/>
          <w:szCs w:val="30"/>
        </w:rPr>
        <w:t>enedetto</w:t>
      </w:r>
      <w:r w:rsidRPr="00C3289F">
        <w:rPr>
          <w:rFonts w:ascii="Georgia" w:hAnsi="Georgia"/>
          <w:b/>
          <w:bCs/>
          <w:color w:val="C00000"/>
          <w:sz w:val="30"/>
          <w:szCs w:val="30"/>
        </w:rPr>
        <w:t xml:space="preserve"> Croce con indicazioni sull</w:t>
      </w:r>
      <w:r>
        <w:rPr>
          <w:rFonts w:ascii="Georgia" w:hAnsi="Georgia"/>
          <w:b/>
          <w:bCs/>
          <w:color w:val="C00000"/>
          <w:sz w:val="30"/>
          <w:szCs w:val="30"/>
        </w:rPr>
        <w:t>’</w:t>
      </w:r>
      <w:r w:rsidRPr="00C3289F">
        <w:rPr>
          <w:rFonts w:ascii="Georgia" w:hAnsi="Georgia"/>
          <w:b/>
          <w:bCs/>
          <w:color w:val="C00000"/>
          <w:sz w:val="30"/>
          <w:szCs w:val="30"/>
        </w:rPr>
        <w:t>opera</w:t>
      </w:r>
      <w:r>
        <w:rPr>
          <w:rFonts w:ascii="Georgia" w:hAnsi="Georgia"/>
          <w:b/>
          <w:bCs/>
          <w:color w:val="C00000"/>
          <w:sz w:val="30"/>
          <w:szCs w:val="30"/>
        </w:rPr>
        <w:t xml:space="preserve">: “Libro importante e rarissimo. L’autore è Reginaldo Gonzalo Montanum …”. Uno dei doni di Benedetto Croce al giovane Benedetto Nicolini, figlio dell’amico Fausto. </w:t>
      </w:r>
      <w:r w:rsidRPr="00C3289F">
        <w:rPr>
          <w:rFonts w:ascii="Georgia" w:hAnsi="Georgia"/>
          <w:b/>
          <w:bCs/>
          <w:color w:val="C00000"/>
          <w:sz w:val="30"/>
          <w:szCs w:val="30"/>
        </w:rPr>
        <w:t xml:space="preserve"> </w:t>
      </w:r>
    </w:p>
    <w:p w14:paraId="70FCB84B" w14:textId="77777777" w:rsidR="00DD271A"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b/>
          <w:bCs/>
          <w:i/>
          <w:color w:val="C00000"/>
          <w:sz w:val="36"/>
          <w:szCs w:val="36"/>
        </w:rPr>
      </w:pPr>
    </w:p>
    <w:p w14:paraId="2A370EDB" w14:textId="77777777" w:rsidR="00DD271A" w:rsidRPr="00A74F07"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color w:val="auto"/>
          <w:sz w:val="30"/>
          <w:szCs w:val="30"/>
        </w:rPr>
      </w:pPr>
      <w:r>
        <w:rPr>
          <w:rFonts w:ascii="Georgia" w:hAnsi="Georgia"/>
          <w:b/>
          <w:bCs/>
          <w:i/>
          <w:color w:val="C00000"/>
          <w:sz w:val="36"/>
          <w:szCs w:val="36"/>
        </w:rPr>
        <w:t>4</w:t>
      </w:r>
      <w:r w:rsidRPr="00A840D4">
        <w:rPr>
          <w:rFonts w:ascii="Georgia" w:hAnsi="Georgia"/>
          <w:b/>
          <w:bCs/>
          <w:i/>
          <w:color w:val="C00000"/>
          <w:sz w:val="36"/>
          <w:szCs w:val="36"/>
        </w:rPr>
        <w:t>.</w:t>
      </w:r>
      <w:r>
        <w:rPr>
          <w:rFonts w:ascii="Georgia" w:hAnsi="Georgia"/>
          <w:b/>
          <w:bCs/>
          <w:i/>
          <w:color w:val="385623" w:themeColor="accent6" w:themeShade="80"/>
          <w:sz w:val="30"/>
          <w:szCs w:val="30"/>
        </w:rPr>
        <w:t xml:space="preserve"> </w:t>
      </w:r>
      <w:r w:rsidRPr="00A840D4">
        <w:rPr>
          <w:rFonts w:ascii="Georgia" w:hAnsi="Georgia"/>
          <w:b/>
          <w:bCs/>
          <w:i/>
          <w:color w:val="1F3864" w:themeColor="accent1" w:themeShade="80"/>
          <w:sz w:val="30"/>
          <w:szCs w:val="30"/>
        </w:rPr>
        <w:t xml:space="preserve">Delle lettere di principi, le quali o si scriuono da principi, o a principi, o ragionano di principi. Libro primo [-terzo]. Di nuouo ricorrette, et secondo l'ordine de' tempi accomodate. </w:t>
      </w:r>
      <w:r w:rsidRPr="00A74F07">
        <w:rPr>
          <w:rFonts w:ascii="Georgia" w:hAnsi="Georgia"/>
          <w:i/>
          <w:color w:val="auto"/>
          <w:sz w:val="30"/>
          <w:szCs w:val="30"/>
        </w:rPr>
        <w:t xml:space="preserve">- </w:t>
      </w:r>
      <w:r w:rsidRPr="00A74F07">
        <w:rPr>
          <w:rFonts w:ascii="Georgia" w:hAnsi="Georgia"/>
          <w:color w:val="auto"/>
          <w:sz w:val="30"/>
          <w:szCs w:val="30"/>
        </w:rPr>
        <w:t>In Venetia : appresso Francesco Ziletti, 1581</w:t>
      </w:r>
      <w:r>
        <w:rPr>
          <w:rFonts w:ascii="Georgia" w:hAnsi="Georgia"/>
          <w:color w:val="auto"/>
          <w:sz w:val="30"/>
          <w:szCs w:val="30"/>
        </w:rPr>
        <w:t xml:space="preserve">. - </w:t>
      </w:r>
      <w:r w:rsidRPr="00A74F07">
        <w:rPr>
          <w:rFonts w:ascii="Georgia" w:hAnsi="Georgia"/>
          <w:color w:val="auto"/>
          <w:sz w:val="30"/>
          <w:szCs w:val="30"/>
        </w:rPr>
        <w:t>Marca (V526) sui frontespizi.</w:t>
      </w:r>
      <w:r>
        <w:rPr>
          <w:rFonts w:ascii="Georgia" w:hAnsi="Georgia"/>
          <w:color w:val="auto"/>
          <w:sz w:val="30"/>
          <w:szCs w:val="30"/>
        </w:rPr>
        <w:t xml:space="preserve"> </w:t>
      </w:r>
      <w:r w:rsidRPr="00A74F07">
        <w:rPr>
          <w:rFonts w:ascii="Georgia" w:hAnsi="Georgia"/>
          <w:color w:val="auto"/>
          <w:sz w:val="30"/>
          <w:szCs w:val="30"/>
        </w:rPr>
        <w:t xml:space="preserve">- </w:t>
      </w:r>
      <w:r>
        <w:rPr>
          <w:rFonts w:ascii="Georgia" w:hAnsi="Georgia"/>
          <w:color w:val="auto"/>
          <w:sz w:val="30"/>
          <w:szCs w:val="30"/>
        </w:rPr>
        <w:t>I</w:t>
      </w:r>
      <w:r w:rsidRPr="00A74F07">
        <w:rPr>
          <w:rFonts w:ascii="Georgia" w:hAnsi="Georgia"/>
          <w:color w:val="auto"/>
          <w:sz w:val="30"/>
          <w:szCs w:val="30"/>
        </w:rPr>
        <w:t>niziali e fregi xilografici.</w:t>
      </w:r>
    </w:p>
    <w:p w14:paraId="1D41B9E8" w14:textId="77777777" w:rsidR="00DD271A" w:rsidRPr="00A74F07"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color w:val="auto"/>
          <w:sz w:val="30"/>
          <w:szCs w:val="30"/>
        </w:rPr>
      </w:pPr>
      <w:r w:rsidRPr="00893160">
        <w:rPr>
          <w:rFonts w:ascii="Georgia" w:hAnsi="Georgia"/>
          <w:color w:val="auto"/>
          <w:sz w:val="30"/>
          <w:szCs w:val="30"/>
        </w:rPr>
        <w:t>Legatura alle armi in pelle</w:t>
      </w:r>
      <w:r w:rsidRPr="00A74F07">
        <w:rPr>
          <w:rFonts w:ascii="Georgia" w:hAnsi="Georgia"/>
          <w:color w:val="auto"/>
          <w:sz w:val="30"/>
          <w:szCs w:val="30"/>
        </w:rPr>
        <w:t>, filettatura a secco lungo i bordi dei piatti centrati dallo stemma nobiliare in doppia cornice con motivi floreali in oro; dorso appartenente a precedente legatura con tassello per autore e titolo, motivi floreali sui compartimenti impressi in oro</w:t>
      </w:r>
      <w:r>
        <w:rPr>
          <w:rFonts w:ascii="Georgia" w:hAnsi="Georgia"/>
          <w:color w:val="auto"/>
          <w:sz w:val="30"/>
          <w:szCs w:val="30"/>
        </w:rPr>
        <w:t>.</w:t>
      </w:r>
    </w:p>
    <w:p w14:paraId="7D85C4A8" w14:textId="77777777" w:rsidR="00DD271A" w:rsidRPr="00893160" w:rsidRDefault="00DD271A" w:rsidP="00DD271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Georgia" w:hAnsi="Georgia"/>
          <w:b/>
          <w:bCs/>
          <w:color w:val="C00000"/>
          <w:sz w:val="30"/>
          <w:szCs w:val="30"/>
        </w:rPr>
      </w:pPr>
      <w:r w:rsidRPr="00893160">
        <w:rPr>
          <w:rFonts w:ascii="Georgia" w:hAnsi="Georgia"/>
          <w:b/>
          <w:bCs/>
          <w:color w:val="C00000"/>
          <w:sz w:val="30"/>
          <w:szCs w:val="30"/>
        </w:rPr>
        <w:t xml:space="preserve">Rarissimo esemplare appartenuto a Charles François </w:t>
      </w:r>
      <w:bookmarkStart w:id="0" w:name="_Hlk177391984"/>
      <w:r w:rsidRPr="00893160">
        <w:rPr>
          <w:rFonts w:ascii="Georgia" w:hAnsi="Georgia"/>
          <w:b/>
          <w:bCs/>
          <w:color w:val="C00000"/>
          <w:sz w:val="30"/>
          <w:szCs w:val="30"/>
        </w:rPr>
        <w:t>Cisternay du Fay</w:t>
      </w:r>
      <w:r>
        <w:rPr>
          <w:rFonts w:ascii="Georgia" w:hAnsi="Georgia"/>
          <w:b/>
          <w:bCs/>
          <w:color w:val="C00000"/>
          <w:sz w:val="30"/>
          <w:szCs w:val="30"/>
        </w:rPr>
        <w:t xml:space="preserve"> </w:t>
      </w:r>
      <w:bookmarkEnd w:id="0"/>
      <w:r>
        <w:rPr>
          <w:rFonts w:ascii="Georgia" w:hAnsi="Georgia"/>
          <w:b/>
          <w:bCs/>
          <w:color w:val="C00000"/>
          <w:sz w:val="30"/>
          <w:szCs w:val="30"/>
        </w:rPr>
        <w:t>(1725) e acquistato nel 1738 da</w:t>
      </w:r>
      <w:r w:rsidRPr="00893160">
        <w:rPr>
          <w:rFonts w:ascii="Georgia" w:hAnsi="Georgia"/>
          <w:b/>
          <w:bCs/>
          <w:color w:val="C00000"/>
          <w:sz w:val="30"/>
          <w:szCs w:val="30"/>
        </w:rPr>
        <w:t>l conte di Hoym</w:t>
      </w:r>
      <w:r>
        <w:rPr>
          <w:rFonts w:ascii="Georgia" w:hAnsi="Georgia"/>
          <w:b/>
          <w:bCs/>
          <w:color w:val="C00000"/>
          <w:sz w:val="30"/>
          <w:szCs w:val="30"/>
        </w:rPr>
        <w:t>, come attesta la nota manoscritta sull’ultimo foglio di guardia. Il conte di Hoym</w:t>
      </w:r>
      <w:r w:rsidRPr="00893160">
        <w:rPr>
          <w:rFonts w:ascii="Georgia" w:hAnsi="Georgia"/>
          <w:b/>
          <w:bCs/>
          <w:color w:val="C00000"/>
          <w:sz w:val="30"/>
          <w:szCs w:val="30"/>
        </w:rPr>
        <w:t xml:space="preserve"> acquistò </w:t>
      </w:r>
      <w:r>
        <w:rPr>
          <w:rFonts w:ascii="Georgia" w:hAnsi="Georgia"/>
          <w:b/>
          <w:bCs/>
          <w:color w:val="C00000"/>
          <w:sz w:val="30"/>
          <w:szCs w:val="30"/>
        </w:rPr>
        <w:t xml:space="preserve">da </w:t>
      </w:r>
      <w:r w:rsidRPr="00741393">
        <w:rPr>
          <w:rFonts w:ascii="Georgia" w:hAnsi="Georgia"/>
          <w:b/>
          <w:bCs/>
          <w:color w:val="C00000"/>
          <w:sz w:val="30"/>
          <w:szCs w:val="30"/>
        </w:rPr>
        <w:t xml:space="preserve">Cisternay du Fay </w:t>
      </w:r>
      <w:r w:rsidRPr="00893160">
        <w:rPr>
          <w:rFonts w:ascii="Georgia" w:hAnsi="Georgia"/>
          <w:b/>
          <w:bCs/>
          <w:color w:val="C00000"/>
          <w:sz w:val="30"/>
          <w:szCs w:val="30"/>
        </w:rPr>
        <w:t>molti pregevoli volumi per la sua raccolta di testi rari, provvedendo poi a farli rilegare da Boyet e da Padeloup e facendo inserire lo stemma del suo casato.</w:t>
      </w:r>
    </w:p>
    <w:p w14:paraId="0FD656E6" w14:textId="77777777" w:rsidR="00DD271A" w:rsidRDefault="00DD271A" w:rsidP="00DD271A">
      <w:pPr>
        <w:pStyle w:val="Normale1"/>
        <w:jc w:val="both"/>
        <w:rPr>
          <w:rFonts w:ascii="Georgia" w:hAnsi="Georgia"/>
          <w:b/>
          <w:bCs/>
          <w:i/>
          <w:color w:val="C00000"/>
          <w:sz w:val="36"/>
          <w:szCs w:val="36"/>
        </w:rPr>
      </w:pPr>
    </w:p>
    <w:p w14:paraId="50C1FBF1" w14:textId="77777777" w:rsidR="00DD271A" w:rsidRPr="007F7B03" w:rsidRDefault="00DD271A" w:rsidP="00DD271A">
      <w:pPr>
        <w:pStyle w:val="Normale1"/>
        <w:jc w:val="both"/>
        <w:rPr>
          <w:rFonts w:ascii="Georgia" w:hAnsi="Georgia"/>
          <w:b/>
          <w:bCs/>
          <w:i/>
          <w:color w:val="385623" w:themeColor="accent6" w:themeShade="80"/>
          <w:sz w:val="30"/>
          <w:szCs w:val="30"/>
        </w:rPr>
      </w:pPr>
      <w:r>
        <w:rPr>
          <w:rFonts w:ascii="Georgia" w:hAnsi="Georgia"/>
          <w:b/>
          <w:bCs/>
          <w:i/>
          <w:color w:val="C00000"/>
          <w:sz w:val="36"/>
          <w:szCs w:val="36"/>
        </w:rPr>
        <w:t>5</w:t>
      </w:r>
      <w:r w:rsidRPr="00042A6E">
        <w:rPr>
          <w:rFonts w:ascii="Georgia" w:hAnsi="Georgia"/>
          <w:b/>
          <w:bCs/>
          <w:i/>
          <w:color w:val="C00000"/>
          <w:sz w:val="36"/>
          <w:szCs w:val="36"/>
        </w:rPr>
        <w:t>.</w:t>
      </w:r>
      <w:r w:rsidRPr="00042A6E">
        <w:rPr>
          <w:rFonts w:ascii="Georgia" w:hAnsi="Georgia"/>
          <w:b/>
          <w:bCs/>
          <w:i/>
          <w:color w:val="C00000"/>
          <w:sz w:val="30"/>
          <w:szCs w:val="30"/>
        </w:rPr>
        <w:t xml:space="preserve"> </w:t>
      </w:r>
      <w:r w:rsidRPr="00C3289F">
        <w:rPr>
          <w:rFonts w:ascii="Georgia" w:hAnsi="Georgia"/>
          <w:b/>
          <w:bCs/>
          <w:i/>
          <w:color w:val="1F3864" w:themeColor="accent1" w:themeShade="80"/>
          <w:sz w:val="30"/>
          <w:szCs w:val="30"/>
        </w:rPr>
        <w:t>Miscellanea luterana</w:t>
      </w:r>
    </w:p>
    <w:p w14:paraId="3CEB2FAE" w14:textId="77777777" w:rsidR="00DD271A" w:rsidRDefault="00DD271A" w:rsidP="00DD271A">
      <w:pPr>
        <w:pStyle w:val="Normale1"/>
        <w:jc w:val="both"/>
        <w:rPr>
          <w:rFonts w:ascii="Georgia" w:hAnsi="Georgia"/>
          <w:b/>
          <w:bCs/>
          <w:color w:val="C00000"/>
          <w:sz w:val="30"/>
          <w:szCs w:val="30"/>
        </w:rPr>
      </w:pPr>
      <w:r w:rsidRPr="00A74F07">
        <w:rPr>
          <w:rFonts w:ascii="Georgia" w:hAnsi="Georgia"/>
          <w:color w:val="auto"/>
          <w:sz w:val="30"/>
          <w:szCs w:val="30"/>
        </w:rPr>
        <w:t xml:space="preserve">Quindici rarissimi opuscoli che testimoniano il diffondersi del luteranesimo nei primi anni dopo la morte del grande riformatore raccolti in una magnifica </w:t>
      </w:r>
      <w:r w:rsidRPr="004B2AD8">
        <w:rPr>
          <w:rFonts w:ascii="Georgia" w:hAnsi="Georgia"/>
          <w:color w:val="auto"/>
          <w:sz w:val="30"/>
          <w:szCs w:val="30"/>
        </w:rPr>
        <w:t xml:space="preserve">legatura tedesca coeva in pelle marrone su assi di legno datata 1551. </w:t>
      </w:r>
      <w:r w:rsidRPr="00A74F07">
        <w:rPr>
          <w:rFonts w:ascii="Georgia" w:hAnsi="Georgia"/>
          <w:color w:val="auto"/>
          <w:sz w:val="30"/>
          <w:szCs w:val="30"/>
        </w:rPr>
        <w:t xml:space="preserve">Impressioni a secco. Sul piatto anteriore triplice cornice delimitata ciascuna da doppia filettatura. La cornice centrale è centrata dal portale di un tempio e circondata da una bordura, all’interno motivi fitomorfi stilizzati. In basso la natività; </w:t>
      </w:r>
      <w:r>
        <w:rPr>
          <w:rFonts w:ascii="Georgia" w:hAnsi="Georgia"/>
          <w:color w:val="auto"/>
          <w:sz w:val="30"/>
          <w:szCs w:val="30"/>
        </w:rPr>
        <w:t>a</w:t>
      </w:r>
      <w:r w:rsidRPr="00A74F07">
        <w:rPr>
          <w:rFonts w:ascii="Georgia" w:hAnsi="Georgia"/>
          <w:color w:val="auto"/>
          <w:sz w:val="30"/>
          <w:szCs w:val="30"/>
        </w:rPr>
        <w:t xml:space="preserve"> destra, su basamento, la Vergine col bambino a mezzo busto; a sinistra anche su basamento e a mezzo busto san Giuseppe con scritta</w:t>
      </w:r>
      <w:r>
        <w:rPr>
          <w:rFonts w:ascii="Georgia" w:hAnsi="Georgia"/>
          <w:color w:val="auto"/>
          <w:sz w:val="30"/>
          <w:szCs w:val="30"/>
        </w:rPr>
        <w:t>:</w:t>
      </w:r>
      <w:r w:rsidRPr="00A74F07">
        <w:rPr>
          <w:rFonts w:ascii="Georgia" w:hAnsi="Georgia"/>
          <w:color w:val="auto"/>
          <w:sz w:val="30"/>
          <w:szCs w:val="30"/>
        </w:rPr>
        <w:t xml:space="preserve"> </w:t>
      </w:r>
      <w:r w:rsidRPr="00A74F07">
        <w:rPr>
          <w:rFonts w:ascii="Georgia" w:hAnsi="Georgia"/>
          <w:i/>
          <w:iCs/>
          <w:color w:val="auto"/>
          <w:sz w:val="30"/>
          <w:szCs w:val="30"/>
        </w:rPr>
        <w:t>caritas</w:t>
      </w:r>
      <w:r w:rsidRPr="00A74F07">
        <w:rPr>
          <w:rFonts w:ascii="Georgia" w:hAnsi="Georgia"/>
          <w:color w:val="auto"/>
          <w:sz w:val="30"/>
          <w:szCs w:val="30"/>
        </w:rPr>
        <w:t xml:space="preserve">. Nella seconda cornice motivi fitomorfi stilizzati: in basso la data 1551. In quella esterna figure e simboli evangelici e biblici: il Cristo con scritta </w:t>
      </w:r>
      <w:r w:rsidRPr="00A74F07">
        <w:rPr>
          <w:rFonts w:ascii="Georgia" w:hAnsi="Georgia"/>
          <w:i/>
          <w:iCs/>
          <w:color w:val="auto"/>
          <w:sz w:val="30"/>
          <w:szCs w:val="30"/>
        </w:rPr>
        <w:t>ecce agnus</w:t>
      </w:r>
      <w:r w:rsidRPr="00A74F07">
        <w:rPr>
          <w:rFonts w:ascii="Georgia" w:hAnsi="Georgia"/>
          <w:color w:val="auto"/>
          <w:sz w:val="30"/>
          <w:szCs w:val="30"/>
        </w:rPr>
        <w:t xml:space="preserve">, ostensorio, teste di agnelli; Davide che suona la lira alternati da motivi fitomorfi e scritte </w:t>
      </w:r>
      <w:r w:rsidRPr="00A74F07">
        <w:rPr>
          <w:rFonts w:ascii="Georgia" w:hAnsi="Georgia"/>
          <w:i/>
          <w:iCs/>
          <w:color w:val="auto"/>
          <w:sz w:val="30"/>
          <w:szCs w:val="30"/>
        </w:rPr>
        <w:t>Iustitia</w:t>
      </w:r>
      <w:r w:rsidRPr="00A74F07">
        <w:rPr>
          <w:rFonts w:ascii="Georgia" w:hAnsi="Georgia"/>
          <w:color w:val="auto"/>
          <w:sz w:val="30"/>
          <w:szCs w:val="30"/>
        </w:rPr>
        <w:t xml:space="preserve">, </w:t>
      </w:r>
      <w:r w:rsidRPr="00A74F07">
        <w:rPr>
          <w:rFonts w:ascii="Georgia" w:hAnsi="Georgia"/>
          <w:i/>
          <w:iCs/>
          <w:color w:val="auto"/>
          <w:sz w:val="30"/>
          <w:szCs w:val="30"/>
        </w:rPr>
        <w:t>Fides</w:t>
      </w:r>
      <w:r w:rsidRPr="00A74F07">
        <w:rPr>
          <w:rFonts w:ascii="Georgia" w:hAnsi="Georgia"/>
          <w:color w:val="auto"/>
          <w:sz w:val="30"/>
          <w:szCs w:val="30"/>
        </w:rPr>
        <w:t xml:space="preserve"> e altre illeggibili. Il piatto posteriore è simile negli elementi decorativi, manca la Natività e la data. Dorso con nervature; coppia di fermagli in metallo e cuoio. </w:t>
      </w:r>
      <w:r w:rsidRPr="004B2AD8">
        <w:rPr>
          <w:rFonts w:ascii="Georgia" w:hAnsi="Georgia"/>
          <w:b/>
          <w:bCs/>
          <w:color w:val="C00000"/>
          <w:sz w:val="30"/>
          <w:szCs w:val="30"/>
        </w:rPr>
        <w:t>Sulla risguardia anteriore e sul primo foglio di guardia note manoscritte in tedesco (sec. XVI, seconda metà) di più mani successive; un indice degli opuscoli. Sulla risguardia posteriore neumi seguiti da versi in tedesco, sottoscritti da George Gosse “anno Domini 1590”.</w:t>
      </w:r>
    </w:p>
    <w:p w14:paraId="25910BF7" w14:textId="77777777" w:rsidR="00DD271A" w:rsidRPr="004B2AD8" w:rsidRDefault="00DD271A" w:rsidP="00DD271A">
      <w:pPr>
        <w:pStyle w:val="Normale1"/>
        <w:jc w:val="both"/>
        <w:rPr>
          <w:rFonts w:ascii="Georgia" w:hAnsi="Georgia"/>
          <w:b/>
          <w:bCs/>
          <w:color w:val="C00000"/>
          <w:sz w:val="30"/>
          <w:szCs w:val="30"/>
        </w:rPr>
      </w:pPr>
    </w:p>
    <w:p w14:paraId="64C655C7" w14:textId="60007EF9" w:rsidR="00150200" w:rsidRDefault="00257BCA" w:rsidP="00257BCA">
      <w:pPr>
        <w:pStyle w:val="Normale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pPr>
      <w:r>
        <w:rPr>
          <w:noProof/>
        </w:rPr>
        <w:drawing>
          <wp:inline distT="0" distB="0" distL="0" distR="0" wp14:anchorId="34E13186" wp14:editId="7EB33117">
            <wp:extent cx="6162675" cy="1220398"/>
            <wp:effectExtent l="0" t="0" r="0" b="0"/>
            <wp:docPr id="159836956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87587" cy="1225331"/>
                    </a:xfrm>
                    <a:prstGeom prst="rect">
                      <a:avLst/>
                    </a:prstGeom>
                    <a:noFill/>
                    <a:ln>
                      <a:noFill/>
                    </a:ln>
                  </pic:spPr>
                </pic:pic>
              </a:graphicData>
            </a:graphic>
          </wp:inline>
        </w:drawing>
      </w:r>
    </w:p>
    <w:sectPr w:rsidR="00150200" w:rsidSect="00DD271A">
      <w:pgSz w:w="16838" w:h="11906" w:orient="landscape"/>
      <w:pgMar w:top="284" w:right="851" w:bottom="284"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1A"/>
    <w:rsid w:val="00150200"/>
    <w:rsid w:val="00257BCA"/>
    <w:rsid w:val="003127BE"/>
    <w:rsid w:val="004D03DF"/>
    <w:rsid w:val="00B51024"/>
    <w:rsid w:val="00D67749"/>
    <w:rsid w:val="00DD27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C33F"/>
  <w15:chartTrackingRefBased/>
  <w15:docId w15:val="{EDD71045-50B1-4D1E-8D64-B4ED88D4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271A"/>
    <w:pPr>
      <w:spacing w:line="256" w:lineRule="auto"/>
    </w:pPr>
    <w:rPr>
      <w:rFonts w:eastAsia="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D271A"/>
    <w:pPr>
      <w:spacing w:line="240" w:lineRule="auto"/>
      <w:jc w:val="left"/>
    </w:pPr>
    <w:rPr>
      <w:rFonts w:eastAsia="ヒラギノ角ゴ Pro W3"/>
      <w:color w:val="000000"/>
      <w:kern w:val="0"/>
      <w:sz w:val="24"/>
      <w:szCs w:val="20"/>
      <w:lang w:eastAsia="it-IT"/>
      <w14:ligatures w14:val="none"/>
    </w:rPr>
  </w:style>
  <w:style w:type="character" w:styleId="Collegamentoipertestuale">
    <w:name w:val="Hyperlink"/>
    <w:basedOn w:val="Carpredefinitoparagrafo"/>
    <w:uiPriority w:val="99"/>
    <w:unhideWhenUsed/>
    <w:rsid w:val="00DD27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Monica</cp:lastModifiedBy>
  <cp:revision>2</cp:revision>
  <dcterms:created xsi:type="dcterms:W3CDTF">2024-09-27T15:30:00Z</dcterms:created>
  <dcterms:modified xsi:type="dcterms:W3CDTF">2024-09-27T15:32:00Z</dcterms:modified>
</cp:coreProperties>
</file>